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32"/>
          <w:szCs w:val="32"/>
        </w:rPr>
      </w:pPr>
      <w:r>
        <w:rPr>
          <w:rFonts w:hint="eastAsia"/>
          <w:sz w:val="32"/>
          <w:szCs w:val="32"/>
        </w:rPr>
        <w:t xml:space="preserve"> </w:t>
      </w:r>
      <w:bookmarkStart w:id="57" w:name="_GoBack"/>
      <w:r>
        <w:rPr>
          <w:rFonts w:hint="eastAsia"/>
          <w:sz w:val="32"/>
          <w:szCs w:val="32"/>
        </w:rPr>
        <w:t xml:space="preserve"> </w:t>
      </w:r>
      <w:bookmarkStart w:id="0" w:name="_Toc16523572"/>
      <w:r>
        <w:rPr>
          <w:rFonts w:hint="eastAsia"/>
          <w:sz w:val="32"/>
          <w:szCs w:val="32"/>
        </w:rPr>
        <w:t>采购需求</w:t>
      </w:r>
      <w:bookmarkEnd w:id="0"/>
    </w:p>
    <w:bookmarkEnd w:id="57"/>
    <w:p>
      <w:pPr>
        <w:adjustRightInd w:val="0"/>
        <w:snapToGrid w:val="0"/>
        <w:spacing w:before="120" w:beforeLines="50" w:line="360" w:lineRule="auto"/>
        <w:rPr>
          <w:rFonts w:hint="eastAsia" w:ascii="宋体" w:hAnsi="宋体" w:cs="宋体"/>
          <w:sz w:val="24"/>
        </w:rPr>
      </w:pPr>
      <w:r>
        <w:rPr>
          <w:rFonts w:hint="eastAsia" w:ascii="宋体" w:hAnsi="宋体" w:cs="宋体"/>
          <w:sz w:val="24"/>
        </w:rPr>
        <w:t>一</w:t>
      </w:r>
      <w:r>
        <w:rPr>
          <w:rFonts w:hint="eastAsia" w:ascii="宋体" w:hAnsi="宋体" w:cs="宋体"/>
          <w:b/>
          <w:bCs/>
          <w:sz w:val="24"/>
        </w:rPr>
        <w:t>、采购清单</w:t>
      </w:r>
    </w:p>
    <w:tbl>
      <w:tblPr>
        <w:tblStyle w:val="9"/>
        <w:tblW w:w="422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2932"/>
        <w:gridCol w:w="1506"/>
        <w:gridCol w:w="1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35" w:type="pct"/>
            <w:noWrap w:val="0"/>
            <w:vAlign w:val="center"/>
          </w:tcPr>
          <w:p>
            <w:pPr>
              <w:jc w:val="center"/>
              <w:rPr>
                <w:rFonts w:hint="eastAsia"/>
                <w:sz w:val="24"/>
              </w:rPr>
            </w:pPr>
            <w:r>
              <w:rPr>
                <w:rFonts w:hint="eastAsia"/>
                <w:sz w:val="24"/>
              </w:rPr>
              <w:t>包号</w:t>
            </w:r>
          </w:p>
        </w:tc>
        <w:tc>
          <w:tcPr>
            <w:tcW w:w="2037" w:type="pct"/>
            <w:noWrap w:val="0"/>
            <w:vAlign w:val="center"/>
          </w:tcPr>
          <w:p>
            <w:pPr>
              <w:jc w:val="center"/>
              <w:rPr>
                <w:rFonts w:hint="default" w:eastAsia="宋体"/>
                <w:sz w:val="24"/>
                <w:lang w:val="en-US" w:eastAsia="zh-CN"/>
              </w:rPr>
            </w:pPr>
            <w:r>
              <w:rPr>
                <w:rFonts w:hint="eastAsia"/>
                <w:sz w:val="24"/>
                <w:lang w:val="en-US" w:eastAsia="zh-CN"/>
              </w:rPr>
              <w:t>包名</w:t>
            </w:r>
          </w:p>
        </w:tc>
        <w:tc>
          <w:tcPr>
            <w:tcW w:w="1046" w:type="pct"/>
            <w:noWrap w:val="0"/>
            <w:vAlign w:val="center"/>
          </w:tcPr>
          <w:p>
            <w:pPr>
              <w:jc w:val="center"/>
              <w:rPr>
                <w:rFonts w:hint="eastAsia"/>
                <w:sz w:val="24"/>
              </w:rPr>
            </w:pPr>
            <w:r>
              <w:rPr>
                <w:rFonts w:hint="eastAsia"/>
                <w:sz w:val="24"/>
              </w:rPr>
              <w:t>单位</w:t>
            </w:r>
          </w:p>
        </w:tc>
        <w:tc>
          <w:tcPr>
            <w:tcW w:w="1180" w:type="pct"/>
            <w:noWrap w:val="0"/>
            <w:vAlign w:val="center"/>
          </w:tcPr>
          <w:p>
            <w:pPr>
              <w:jc w:val="center"/>
              <w:rPr>
                <w:rFonts w:hint="default" w:eastAsia="宋体"/>
                <w:sz w:val="24"/>
                <w:lang w:val="en-US" w:eastAsia="zh-CN"/>
              </w:rPr>
            </w:pPr>
            <w:r>
              <w:rPr>
                <w:rFonts w:hint="eastAsia"/>
                <w:sz w:val="24"/>
                <w:lang w:val="en-US" w:eastAsia="zh-CN"/>
              </w:rPr>
              <w:t>采购限价（元）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735" w:type="pct"/>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1</w:t>
            </w:r>
          </w:p>
        </w:tc>
        <w:tc>
          <w:tcPr>
            <w:tcW w:w="2037" w:type="pct"/>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2022年网络安全等级保护测评服务</w:t>
            </w:r>
          </w:p>
        </w:tc>
        <w:tc>
          <w:tcPr>
            <w:tcW w:w="1046" w:type="pct"/>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项</w:t>
            </w:r>
          </w:p>
        </w:tc>
        <w:tc>
          <w:tcPr>
            <w:tcW w:w="1180" w:type="pct"/>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310000.00</w:t>
            </w:r>
          </w:p>
        </w:tc>
      </w:tr>
    </w:tbl>
    <w:p>
      <w:pPr>
        <w:pStyle w:val="8"/>
        <w:rPr>
          <w:rFonts w:hint="eastAsia"/>
          <w:b/>
          <w:bCs/>
        </w:rPr>
      </w:pPr>
    </w:p>
    <w:p>
      <w:pPr>
        <w:pStyle w:val="11"/>
        <w:numPr>
          <w:ilvl w:val="0"/>
          <w:numId w:val="1"/>
        </w:numPr>
        <w:spacing w:line="360" w:lineRule="auto"/>
        <w:ind w:firstLine="0" w:firstLineChars="0"/>
        <w:jc w:val="left"/>
        <w:outlineLvl w:val="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技术参数</w:t>
      </w:r>
    </w:p>
    <w:p>
      <w:pPr>
        <w:pStyle w:val="11"/>
        <w:numPr>
          <w:ilvl w:val="0"/>
          <w:numId w:val="0"/>
        </w:numPr>
        <w:spacing w:line="360" w:lineRule="auto"/>
        <w:jc w:val="left"/>
        <w:outlineLvl w:val="0"/>
        <w:rPr>
          <w:rFonts w:hint="eastAsia" w:ascii="宋体" w:hAnsi="宋体" w:eastAsia="宋体" w:cs="宋体"/>
          <w:b/>
          <w:bCs/>
          <w:kern w:val="2"/>
          <w:sz w:val="24"/>
          <w:szCs w:val="24"/>
          <w:lang w:val="en-US" w:eastAsia="zh-CN" w:bidi="ar-SA"/>
        </w:rPr>
      </w:pPr>
      <w:bookmarkStart w:id="1" w:name="_Toc462306078"/>
      <w:bookmarkStart w:id="2" w:name="_Toc386202979"/>
      <w:bookmarkStart w:id="3" w:name="_Toc369184094"/>
      <w:bookmarkStart w:id="4" w:name="_Toc335322065"/>
      <w:bookmarkStart w:id="5" w:name="_Toc367882611"/>
      <w:bookmarkStart w:id="6" w:name="_Toc335322408"/>
      <w:bookmarkStart w:id="7" w:name="_Toc335320496"/>
      <w:bookmarkStart w:id="8" w:name="_Toc367887006"/>
      <w:r>
        <w:rPr>
          <w:rFonts w:hint="eastAsia" w:ascii="宋体" w:hAnsi="宋体" w:eastAsia="宋体" w:cs="宋体"/>
          <w:b/>
          <w:bCs/>
          <w:kern w:val="2"/>
          <w:sz w:val="24"/>
          <w:szCs w:val="24"/>
          <w:lang w:val="en-US" w:eastAsia="zh-CN" w:bidi="ar-SA"/>
        </w:rPr>
        <w:t>1、</w:t>
      </w:r>
      <w:bookmarkEnd w:id="1"/>
      <w:r>
        <w:rPr>
          <w:rFonts w:hint="eastAsia" w:ascii="宋体" w:hAnsi="宋体" w:eastAsia="宋体" w:cs="宋体"/>
          <w:b/>
          <w:bCs/>
          <w:kern w:val="2"/>
          <w:sz w:val="24"/>
          <w:szCs w:val="24"/>
          <w:lang w:val="en-US" w:eastAsia="zh-CN" w:bidi="ar-SA"/>
        </w:rPr>
        <w:t>项目服务范围</w:t>
      </w:r>
    </w:p>
    <w:p>
      <w:pPr>
        <w:pageBreakBefore w:val="0"/>
        <w:tabs>
          <w:tab w:val="left" w:pos="540"/>
        </w:tabs>
        <w:kinsoku/>
        <w:wordWrap/>
        <w:overflowPunct/>
        <w:topLinePunct w:val="0"/>
        <w:autoSpaceDE/>
        <w:autoSpaceDN/>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委托获得公安部认证资质的测评机构，对招标人的2个三级（S3A3G3）信息系统和3个二级（S2A2G2）信息系统安全保护状况进行分等级测试评估---等级测评，按系统出具《</w:t>
      </w:r>
      <w:r>
        <w:rPr>
          <w:rFonts w:hint="eastAsia" w:ascii="宋体" w:hAnsi="宋体" w:eastAsia="宋体" w:cs="宋体"/>
          <w:color w:val="000000"/>
          <w:kern w:val="1"/>
          <w:sz w:val="24"/>
          <w:szCs w:val="24"/>
        </w:rPr>
        <w:t>网络</w:t>
      </w:r>
      <w:r>
        <w:rPr>
          <w:rFonts w:hint="eastAsia" w:ascii="宋体" w:hAnsi="宋体" w:eastAsia="宋体" w:cs="宋体"/>
          <w:color w:val="000000"/>
          <w:kern w:val="1"/>
          <w:sz w:val="24"/>
          <w:szCs w:val="24"/>
          <w:lang w:eastAsia="ar-SA"/>
        </w:rPr>
        <w:t>安全</w:t>
      </w:r>
      <w:r>
        <w:rPr>
          <w:rFonts w:hint="eastAsia" w:ascii="宋体" w:hAnsi="宋体" w:eastAsia="宋体" w:cs="宋体"/>
          <w:color w:val="000000"/>
          <w:kern w:val="1"/>
          <w:sz w:val="24"/>
          <w:szCs w:val="24"/>
        </w:rPr>
        <w:t>等级保护</w:t>
      </w:r>
      <w:r>
        <w:rPr>
          <w:rFonts w:hint="eastAsia" w:ascii="宋体" w:hAnsi="宋体" w:eastAsia="宋体" w:cs="宋体"/>
          <w:color w:val="000000"/>
          <w:kern w:val="1"/>
          <w:sz w:val="24"/>
          <w:szCs w:val="24"/>
          <w:lang w:eastAsia="ar-SA"/>
        </w:rPr>
        <w:t>等级测评报告</w:t>
      </w:r>
      <w:r>
        <w:rPr>
          <w:rFonts w:hint="eastAsia" w:ascii="宋体" w:hAnsi="宋体" w:eastAsia="宋体" w:cs="宋体"/>
          <w:color w:val="000000"/>
          <w:sz w:val="24"/>
          <w:szCs w:val="24"/>
        </w:rPr>
        <w:t>》，并结合招标人单位的实际情况，出具《安全建设整改设计方案》。</w:t>
      </w:r>
    </w:p>
    <w:tbl>
      <w:tblPr>
        <w:tblStyle w:val="9"/>
        <w:tblW w:w="83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39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7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39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信息系统名称</w:t>
            </w:r>
          </w:p>
        </w:tc>
        <w:tc>
          <w:tcPr>
            <w:tcW w:w="269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3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591"/>
                <w:tab w:val="center" w:pos="1803"/>
              </w:tabs>
              <w:kinsoku/>
              <w:wordWrap/>
              <w:overflowPunct/>
              <w:topLinePunct w:val="0"/>
              <w:autoSpaceDE/>
              <w:autoSpaceDN/>
              <w:bidi w:val="0"/>
              <w:spacing w:line="360" w:lineRule="auto"/>
              <w:jc w:val="center"/>
              <w:rPr>
                <w:rFonts w:hint="eastAsia" w:ascii="宋体" w:hAnsi="宋体" w:eastAsia="宋体" w:cs="宋体"/>
                <w:color w:val="FF0000"/>
                <w:sz w:val="24"/>
                <w:szCs w:val="24"/>
              </w:rPr>
            </w:pPr>
            <w:r>
              <w:rPr>
                <w:rFonts w:hint="eastAsia" w:ascii="宋体" w:hAnsi="宋体" w:eastAsia="宋体" w:cs="宋体"/>
                <w:sz w:val="24"/>
                <w:szCs w:val="24"/>
              </w:rPr>
              <w:t>HIS系统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第三级 S3A3G3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1"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390"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医院信息集成平台</w:t>
            </w:r>
          </w:p>
        </w:tc>
        <w:tc>
          <w:tcPr>
            <w:tcW w:w="2694"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第三级 S3A3G3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390"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门户网站</w:t>
            </w:r>
          </w:p>
        </w:tc>
        <w:tc>
          <w:tcPr>
            <w:tcW w:w="2694"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第二级 S2A2G2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4390"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LIS检验信息管理系统</w:t>
            </w:r>
          </w:p>
        </w:tc>
        <w:tc>
          <w:tcPr>
            <w:tcW w:w="2694"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第二级 S2A2G2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390" w:type="dxa"/>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全院级PACS影像信息系统</w:t>
            </w:r>
          </w:p>
        </w:tc>
        <w:tc>
          <w:tcPr>
            <w:tcW w:w="2694"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第二级 S2A2G2</w:t>
            </w:r>
          </w:p>
        </w:tc>
      </w:tr>
    </w:tbl>
    <w:p>
      <w:pPr>
        <w:pageBreakBefore w:val="0"/>
        <w:tabs>
          <w:tab w:val="left" w:pos="540"/>
        </w:tabs>
        <w:kinsoku/>
        <w:wordWrap/>
        <w:overflowPunct/>
        <w:topLinePunct w:val="0"/>
        <w:autoSpaceDE/>
        <w:autoSpaceDN/>
        <w:bidi w:val="0"/>
        <w:spacing w:line="360" w:lineRule="auto"/>
        <w:ind w:firstLine="480" w:firstLineChars="200"/>
        <w:rPr>
          <w:rFonts w:hint="eastAsia" w:ascii="宋体" w:hAnsi="宋体" w:eastAsia="宋体" w:cs="宋体"/>
          <w:sz w:val="24"/>
          <w:szCs w:val="24"/>
        </w:rPr>
      </w:pPr>
    </w:p>
    <w:p>
      <w:pPr>
        <w:pStyle w:val="4"/>
        <w:pageBreakBefore w:val="0"/>
        <w:tabs>
          <w:tab w:val="left" w:pos="576"/>
          <w:tab w:val="left" w:pos="1020"/>
        </w:tabs>
        <w:kinsoku/>
        <w:wordWrap/>
        <w:overflowPunct/>
        <w:topLinePunct w:val="0"/>
        <w:autoSpaceDE/>
        <w:autoSpaceDN/>
        <w:bidi w:val="0"/>
        <w:spacing w:line="360" w:lineRule="auto"/>
        <w:rPr>
          <w:rFonts w:hint="eastAsia" w:ascii="宋体" w:hAnsi="宋体" w:eastAsia="宋体" w:cs="宋体"/>
          <w:bCs w:val="0"/>
          <w:sz w:val="24"/>
          <w:szCs w:val="24"/>
        </w:rPr>
      </w:pPr>
      <w:bookmarkStart w:id="9" w:name="_Toc462306079"/>
      <w:r>
        <w:rPr>
          <w:rFonts w:hint="eastAsia" w:ascii="宋体" w:hAnsi="宋体" w:eastAsia="宋体" w:cs="宋体"/>
          <w:bCs w:val="0"/>
          <w:sz w:val="24"/>
          <w:szCs w:val="24"/>
          <w:lang w:val="en-US" w:eastAsia="zh-CN"/>
        </w:rPr>
        <w:t>2</w:t>
      </w:r>
      <w:r>
        <w:rPr>
          <w:rFonts w:hint="eastAsia" w:ascii="宋体" w:hAnsi="宋体" w:eastAsia="宋体" w:cs="宋体"/>
          <w:bCs w:val="0"/>
          <w:sz w:val="24"/>
          <w:szCs w:val="24"/>
        </w:rPr>
        <w:t>、项目服务内容</w:t>
      </w:r>
      <w:bookmarkEnd w:id="2"/>
      <w:bookmarkEnd w:id="3"/>
      <w:bookmarkEnd w:id="4"/>
      <w:bookmarkEnd w:id="5"/>
      <w:bookmarkEnd w:id="6"/>
      <w:bookmarkEnd w:id="7"/>
      <w:bookmarkEnd w:id="8"/>
      <w:bookmarkEnd w:id="9"/>
    </w:p>
    <w:tbl>
      <w:tblPr>
        <w:tblStyle w:val="9"/>
        <w:tblW w:w="5000" w:type="pct"/>
        <w:tblInd w:w="0" w:type="dxa"/>
        <w:tblLayout w:type="autofit"/>
        <w:tblCellMar>
          <w:top w:w="0" w:type="dxa"/>
          <w:left w:w="108" w:type="dxa"/>
          <w:bottom w:w="0" w:type="dxa"/>
          <w:right w:w="108" w:type="dxa"/>
        </w:tblCellMar>
      </w:tblPr>
      <w:tblGrid>
        <w:gridCol w:w="698"/>
        <w:gridCol w:w="678"/>
        <w:gridCol w:w="678"/>
        <w:gridCol w:w="711"/>
        <w:gridCol w:w="713"/>
        <w:gridCol w:w="3018"/>
        <w:gridCol w:w="2026"/>
      </w:tblGrid>
      <w:tr>
        <w:tblPrEx>
          <w:tblCellMar>
            <w:top w:w="0" w:type="dxa"/>
            <w:left w:w="108" w:type="dxa"/>
            <w:bottom w:w="0" w:type="dxa"/>
            <w:right w:w="108" w:type="dxa"/>
          </w:tblCellMar>
        </w:tblPrEx>
        <w:trPr>
          <w:trHeight w:val="479" w:hRule="atLeast"/>
        </w:trPr>
        <w:tc>
          <w:tcPr>
            <w:tcW w:w="37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08" w:type="pct"/>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服务名称</w:t>
            </w:r>
          </w:p>
        </w:tc>
        <w:tc>
          <w:tcPr>
            <w:tcW w:w="847" w:type="pct"/>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服务期限</w:t>
            </w:r>
          </w:p>
        </w:tc>
        <w:tc>
          <w:tcPr>
            <w:tcW w:w="1776"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服务内容</w:t>
            </w:r>
          </w:p>
        </w:tc>
        <w:tc>
          <w:tcPr>
            <w:tcW w:w="1194"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服务范围</w:t>
            </w:r>
          </w:p>
        </w:tc>
      </w:tr>
      <w:tr>
        <w:tblPrEx>
          <w:tblCellMar>
            <w:top w:w="0" w:type="dxa"/>
            <w:left w:w="108" w:type="dxa"/>
            <w:bottom w:w="0" w:type="dxa"/>
            <w:right w:w="108" w:type="dxa"/>
          </w:tblCellMar>
        </w:tblPrEx>
        <w:trPr>
          <w:trHeight w:val="1120" w:hRule="atLeast"/>
        </w:trPr>
        <w:tc>
          <w:tcPr>
            <w:tcW w:w="374" w:type="pct"/>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08" w:type="pct"/>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网络安全等级保护测评服务</w:t>
            </w:r>
          </w:p>
        </w:tc>
        <w:tc>
          <w:tcPr>
            <w:tcW w:w="847" w:type="pct"/>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自合同生效且收到招标人开工令之日起60日内完成</w:t>
            </w:r>
          </w:p>
        </w:tc>
        <w:tc>
          <w:tcPr>
            <w:tcW w:w="1776" w:type="pct"/>
            <w:tcBorders>
              <w:top w:val="nil"/>
              <w:left w:val="nil"/>
              <w:bottom w:val="single" w:color="auto" w:sz="4" w:space="0"/>
              <w:right w:val="single" w:color="auto" w:sz="4" w:space="0"/>
            </w:tcBorders>
            <w:noWrap w:val="0"/>
            <w:vAlign w:val="center"/>
          </w:tcPr>
          <w:p>
            <w:pPr>
              <w:pStyle w:val="12"/>
              <w:pageBreakBefore w:val="0"/>
              <w:kinsoku/>
              <w:wordWrap/>
              <w:overflowPunct/>
              <w:topLinePunct w:val="0"/>
              <w:autoSpaceDE/>
              <w:autoSpaceDN/>
              <w:bidi w:val="0"/>
              <w:spacing w:line="36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依据《网络安全等级保护基本要求》等有关管理规范和技术标准，对等级保护对象的安全物理环境、安全通信网络、安全区域边界、安全计算环境、安全管理中心、安全管理制度、安全管理机构、安全管理人员、安全建设管理、安全运维管理等十个层面的安全测评；完成测评工作后，出具《网络安全等级保护等级测评报告》，并提出整改建议。</w:t>
            </w:r>
          </w:p>
        </w:tc>
        <w:tc>
          <w:tcPr>
            <w:tcW w:w="1194"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本项目中需开展等保测评的</w:t>
            </w:r>
            <w:r>
              <w:rPr>
                <w:rFonts w:hint="eastAsia" w:ascii="宋体" w:hAnsi="宋体" w:eastAsia="宋体" w:cs="宋体"/>
                <w:color w:val="000000"/>
                <w:sz w:val="24"/>
                <w:szCs w:val="24"/>
              </w:rPr>
              <w:t>2</w:t>
            </w:r>
            <w:r>
              <w:rPr>
                <w:rFonts w:hint="eastAsia" w:ascii="宋体" w:hAnsi="宋体" w:eastAsia="宋体" w:cs="宋体"/>
                <w:color w:val="000000"/>
                <w:kern w:val="0"/>
                <w:sz w:val="24"/>
                <w:szCs w:val="24"/>
              </w:rPr>
              <w:t>个三级（S3A3G3）信息系统和</w:t>
            </w:r>
            <w:r>
              <w:rPr>
                <w:rFonts w:hint="eastAsia" w:ascii="宋体" w:hAnsi="宋体" w:eastAsia="宋体" w:cs="宋体"/>
                <w:color w:val="000000"/>
                <w:sz w:val="24"/>
                <w:szCs w:val="24"/>
              </w:rPr>
              <w:t>3</w:t>
            </w:r>
            <w:r>
              <w:rPr>
                <w:rFonts w:hint="eastAsia" w:ascii="宋体" w:hAnsi="宋体" w:eastAsia="宋体" w:cs="宋体"/>
                <w:color w:val="000000"/>
                <w:kern w:val="0"/>
                <w:sz w:val="24"/>
                <w:szCs w:val="24"/>
              </w:rPr>
              <w:t>个二级（S2A2G2）信息系统</w:t>
            </w:r>
          </w:p>
        </w:tc>
      </w:tr>
      <w:tr>
        <w:tblPrEx>
          <w:tblCellMar>
            <w:top w:w="0" w:type="dxa"/>
            <w:left w:w="108" w:type="dxa"/>
            <w:bottom w:w="0" w:type="dxa"/>
            <w:right w:w="108" w:type="dxa"/>
          </w:tblCellMar>
        </w:tblPrEx>
        <w:trPr>
          <w:trHeight w:val="3750" w:hRule="atLeast"/>
        </w:trPr>
        <w:tc>
          <w:tcPr>
            <w:tcW w:w="374" w:type="pct"/>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08" w:type="pct"/>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安全建设整改方案设计服务</w:t>
            </w:r>
          </w:p>
        </w:tc>
        <w:tc>
          <w:tcPr>
            <w:tcW w:w="847" w:type="pct"/>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自合同生效且收到招标人开工令之日起60日内完成</w:t>
            </w:r>
          </w:p>
        </w:tc>
        <w:tc>
          <w:tcPr>
            <w:tcW w:w="1776" w:type="pct"/>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在完成网络安全等级保护等级测评后，根据本项目相关网络安全等级保护等级测评报告，针对等级测评过程发现的问题，将依据网络安全等级保护政策法规和标准规范，以及《关于开展信息安全等级保护安全建设整改工作的指导意见》(公信安[2009]1429号)的规定，并结合本项目招标人单位的实际情况，出具《安全建设整改设计方案》。</w:t>
            </w:r>
          </w:p>
          <w:p>
            <w:pPr>
              <w:pStyle w:val="12"/>
              <w:pageBreakBefore w:val="0"/>
              <w:kinsoku/>
              <w:wordWrap/>
              <w:overflowPunct/>
              <w:topLinePunct w:val="0"/>
              <w:autoSpaceDE/>
              <w:autoSpaceDN/>
              <w:bidi w:val="0"/>
              <w:spacing w:line="360" w:lineRule="auto"/>
              <w:ind w:firstLine="0" w:firstLineChars="0"/>
              <w:jc w:val="left"/>
              <w:rPr>
                <w:rFonts w:hint="eastAsia" w:ascii="宋体" w:hAnsi="宋体" w:eastAsia="宋体" w:cs="宋体"/>
                <w:sz w:val="24"/>
                <w:szCs w:val="24"/>
              </w:rPr>
            </w:pPr>
          </w:p>
        </w:tc>
        <w:tc>
          <w:tcPr>
            <w:tcW w:w="1194"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本</w:t>
            </w:r>
            <w:r>
              <w:rPr>
                <w:rFonts w:hint="eastAsia" w:ascii="宋体" w:hAnsi="宋体" w:eastAsia="宋体" w:cs="宋体"/>
                <w:color w:val="000000"/>
                <w:kern w:val="0"/>
                <w:sz w:val="24"/>
                <w:szCs w:val="24"/>
              </w:rPr>
              <w:t>项目中需开展等保测评的</w:t>
            </w:r>
            <w:r>
              <w:rPr>
                <w:rFonts w:hint="eastAsia" w:ascii="宋体" w:hAnsi="宋体" w:eastAsia="宋体" w:cs="宋体"/>
                <w:color w:val="000000"/>
                <w:sz w:val="24"/>
                <w:szCs w:val="24"/>
              </w:rPr>
              <w:t>2</w:t>
            </w:r>
            <w:r>
              <w:rPr>
                <w:rFonts w:hint="eastAsia" w:ascii="宋体" w:hAnsi="宋体" w:eastAsia="宋体" w:cs="宋体"/>
                <w:color w:val="000000"/>
                <w:kern w:val="0"/>
                <w:sz w:val="24"/>
                <w:szCs w:val="24"/>
              </w:rPr>
              <w:t>个三级（S3A3G3）信息系统和</w:t>
            </w:r>
            <w:r>
              <w:rPr>
                <w:rFonts w:hint="eastAsia" w:ascii="宋体" w:hAnsi="宋体" w:eastAsia="宋体" w:cs="宋体"/>
                <w:color w:val="000000"/>
                <w:sz w:val="24"/>
                <w:szCs w:val="24"/>
              </w:rPr>
              <w:t>3</w:t>
            </w:r>
            <w:r>
              <w:rPr>
                <w:rFonts w:hint="eastAsia" w:ascii="宋体" w:hAnsi="宋体" w:eastAsia="宋体" w:cs="宋体"/>
                <w:color w:val="000000"/>
                <w:kern w:val="0"/>
                <w:sz w:val="24"/>
                <w:szCs w:val="24"/>
              </w:rPr>
              <w:t>个二级（S2A2G2）信息系统</w:t>
            </w:r>
          </w:p>
        </w:tc>
      </w:tr>
      <w:tr>
        <w:tblPrEx>
          <w:tblCellMar>
            <w:top w:w="0" w:type="dxa"/>
            <w:left w:w="108" w:type="dxa"/>
            <w:bottom w:w="0" w:type="dxa"/>
            <w:right w:w="108" w:type="dxa"/>
          </w:tblCellMar>
        </w:tblPrEx>
        <w:trPr>
          <w:trHeight w:val="1120" w:hRule="atLeast"/>
        </w:trPr>
        <w:tc>
          <w:tcPr>
            <w:tcW w:w="37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04" w:type="pct"/>
            <w:tcBorders>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404"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网络安全咨询服务</w:t>
            </w:r>
          </w:p>
        </w:tc>
        <w:tc>
          <w:tcPr>
            <w:tcW w:w="423"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24"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w:t>
            </w:r>
          </w:p>
        </w:tc>
        <w:tc>
          <w:tcPr>
            <w:tcW w:w="1776"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自项目验收之日起，提供1年期的网络安全等级保护咨询服务。</w:t>
            </w:r>
          </w:p>
        </w:tc>
        <w:tc>
          <w:tcPr>
            <w:tcW w:w="1194"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海南医学院第一附属医院</w:t>
            </w:r>
          </w:p>
        </w:tc>
      </w:tr>
    </w:tbl>
    <w:p>
      <w:pPr>
        <w:pStyle w:val="4"/>
        <w:pageBreakBefore w:val="0"/>
        <w:tabs>
          <w:tab w:val="left" w:pos="576"/>
          <w:tab w:val="left" w:pos="1020"/>
        </w:tabs>
        <w:kinsoku/>
        <w:wordWrap/>
        <w:overflowPunct/>
        <w:topLinePunct w:val="0"/>
        <w:autoSpaceDE/>
        <w:autoSpaceDN/>
        <w:bidi w:val="0"/>
        <w:spacing w:line="360" w:lineRule="auto"/>
        <w:rPr>
          <w:rFonts w:hint="eastAsia" w:ascii="宋体" w:hAnsi="宋体" w:eastAsia="宋体" w:cs="宋体"/>
          <w:bCs w:val="0"/>
          <w:sz w:val="24"/>
          <w:szCs w:val="24"/>
        </w:rPr>
      </w:pPr>
      <w:r>
        <w:rPr>
          <w:rFonts w:hint="eastAsia" w:ascii="宋体" w:hAnsi="宋体" w:eastAsia="宋体" w:cs="宋体"/>
          <w:bCs w:val="0"/>
          <w:sz w:val="24"/>
          <w:szCs w:val="24"/>
          <w:lang w:val="en-US" w:eastAsia="zh-CN"/>
        </w:rPr>
        <w:t>3</w:t>
      </w:r>
      <w:r>
        <w:rPr>
          <w:rFonts w:hint="eastAsia" w:ascii="宋体" w:hAnsi="宋体" w:eastAsia="宋体" w:cs="宋体"/>
          <w:bCs w:val="0"/>
          <w:sz w:val="24"/>
          <w:szCs w:val="24"/>
        </w:rPr>
        <w:t>、项目服务要求</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sz w:val="24"/>
          <w:szCs w:val="24"/>
        </w:rPr>
      </w:pPr>
      <w:bookmarkStart w:id="10" w:name="_Toc386202980"/>
      <w:r>
        <w:rPr>
          <w:rFonts w:hint="eastAsia" w:ascii="宋体" w:hAnsi="宋体" w:eastAsia="宋体" w:cs="宋体"/>
          <w:sz w:val="24"/>
          <w:szCs w:val="24"/>
        </w:rPr>
        <w:t>3.1网络安全等级保护测评服务</w:t>
      </w:r>
      <w:bookmarkEnd w:id="10"/>
      <w:r>
        <w:rPr>
          <w:rFonts w:hint="eastAsia" w:ascii="宋体" w:hAnsi="宋体" w:eastAsia="宋体" w:cs="宋体"/>
          <w:color w:val="000000"/>
          <w:sz w:val="24"/>
          <w:szCs w:val="24"/>
        </w:rPr>
        <w:t xml:space="preserve"> </w:t>
      </w:r>
    </w:p>
    <w:p>
      <w:pPr>
        <w:pageBreakBefore w:val="0"/>
        <w:widowControl/>
        <w:kinsoku/>
        <w:wordWrap/>
        <w:overflowPunct/>
        <w:topLinePunct w:val="0"/>
        <w:autoSpaceDE/>
        <w:autoSpaceDN/>
        <w:bidi w:val="0"/>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投标人自合同生效且收到招标人开工令之日起60日内，完成网络安全等级保护测评服务。投标人对招标人</w:t>
      </w:r>
      <w:r>
        <w:rPr>
          <w:rFonts w:hint="eastAsia" w:ascii="宋体" w:hAnsi="宋体" w:eastAsia="宋体" w:cs="宋体"/>
          <w:color w:val="000000"/>
          <w:kern w:val="0"/>
          <w:sz w:val="24"/>
          <w:szCs w:val="24"/>
        </w:rPr>
        <w:t>的</w:t>
      </w:r>
      <w:r>
        <w:rPr>
          <w:rFonts w:hint="eastAsia" w:ascii="宋体" w:hAnsi="宋体" w:eastAsia="宋体" w:cs="宋体"/>
          <w:color w:val="000000"/>
          <w:sz w:val="24"/>
          <w:szCs w:val="24"/>
        </w:rPr>
        <w:t>2个三级（S3A3G3）信息系统和3个二级（S2A2G2）信息系统</w:t>
      </w:r>
      <w:r>
        <w:rPr>
          <w:rFonts w:hint="eastAsia" w:ascii="宋体" w:hAnsi="宋体" w:eastAsia="宋体" w:cs="宋体"/>
          <w:color w:val="000000"/>
          <w:kern w:val="0"/>
          <w:sz w:val="24"/>
          <w:szCs w:val="24"/>
        </w:rPr>
        <w:t>完成等级保护对象要素进行确认、分析和梳理，提出详细的等级测评方案。对等级保护对象的整体保护状况和等级保护组件，逐一进行</w:t>
      </w:r>
      <w:r>
        <w:rPr>
          <w:rFonts w:hint="eastAsia" w:ascii="宋体" w:hAnsi="宋体" w:eastAsia="宋体" w:cs="宋体"/>
          <w:kern w:val="0"/>
          <w:sz w:val="24"/>
          <w:szCs w:val="24"/>
        </w:rPr>
        <w:t>网络安全等级保护等级测评，等级测评的内容包括以下内容:安全物理环境、安全通信网络、安全区域边界、安全计算环境、安全管理中心、安全管理制度、安全管理机构、安全管理人员、安全建设管理、安全运维管理十个层面的测评；完成测评工作后，出具《网络安全等级保护等级测评报告》，针对等级保护对象安全建设提出整改建议。</w:t>
      </w:r>
    </w:p>
    <w:p>
      <w:pPr>
        <w:keepNext/>
        <w:keepLines/>
        <w:pageBreakBefore w:val="0"/>
        <w:kinsoku/>
        <w:wordWrap/>
        <w:overflowPunct/>
        <w:topLinePunct w:val="0"/>
        <w:autoSpaceDE/>
        <w:autoSpaceDN/>
        <w:bidi w:val="0"/>
        <w:spacing w:before="280" w:after="290" w:line="360" w:lineRule="auto"/>
        <w:outlineLvl w:val="3"/>
        <w:rPr>
          <w:rFonts w:hint="eastAsia" w:ascii="宋体" w:hAnsi="宋体" w:eastAsia="宋体" w:cs="宋体"/>
          <w:b/>
          <w:bCs/>
          <w:sz w:val="24"/>
          <w:szCs w:val="24"/>
        </w:rPr>
      </w:pPr>
      <w:r>
        <w:rPr>
          <w:rFonts w:hint="eastAsia" w:ascii="宋体" w:hAnsi="宋体" w:eastAsia="宋体" w:cs="宋体"/>
          <w:b/>
          <w:bCs/>
          <w:sz w:val="24"/>
          <w:szCs w:val="24"/>
        </w:rPr>
        <w:t>3.1.1测评实施过程</w:t>
      </w:r>
    </w:p>
    <w:p>
      <w:pPr>
        <w:pageBreakBefore w:val="0"/>
        <w:widowControl/>
        <w:kinsoku/>
        <w:wordWrap/>
        <w:overflowPunct/>
        <w:topLinePunct w:val="0"/>
        <w:autoSpaceDE/>
        <w:autoSpaceDN/>
        <w:bidi w:val="0"/>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投标人在测评过程中，按照《信息安全技术 网络安全等级保护测评过程指南》等标准开展测评实施工作，等级测评过程分为四个基本测评活动:测评准备活动、方案编制活动、现场测评活动、报告编制活动。测评双方之间的沟通与洽谈应贯穿整个等级测评过程。 测评双方之间的沟通与洽谈应贯穿整个等保测评过程。</w:t>
      </w:r>
    </w:p>
    <w:p>
      <w:pPr>
        <w:keepNext/>
        <w:keepLines/>
        <w:pageBreakBefore w:val="0"/>
        <w:kinsoku/>
        <w:wordWrap/>
        <w:overflowPunct/>
        <w:topLinePunct w:val="0"/>
        <w:autoSpaceDE/>
        <w:autoSpaceDN/>
        <w:bidi w:val="0"/>
        <w:spacing w:before="280" w:after="290" w:line="360" w:lineRule="auto"/>
        <w:outlineLvl w:val="4"/>
        <w:rPr>
          <w:rFonts w:hint="eastAsia" w:ascii="宋体" w:hAnsi="宋体" w:eastAsia="宋体" w:cs="宋体"/>
          <w:b/>
          <w:bCs/>
          <w:sz w:val="24"/>
          <w:szCs w:val="24"/>
        </w:rPr>
      </w:pPr>
      <w:r>
        <w:rPr>
          <w:rFonts w:hint="eastAsia" w:ascii="宋体" w:hAnsi="宋体" w:eastAsia="宋体" w:cs="宋体"/>
          <w:b/>
          <w:bCs/>
          <w:sz w:val="24"/>
          <w:szCs w:val="24"/>
        </w:rPr>
        <w:t>3.1.1.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测评准备活动 </w:t>
      </w:r>
    </w:p>
    <w:p>
      <w:pPr>
        <w:pageBreakBefore w:val="0"/>
        <w:widowControl/>
        <w:kinsoku/>
        <w:wordWrap/>
        <w:overflowPunct/>
        <w:topLinePunct w:val="0"/>
        <w:autoSpaceDE/>
        <w:autoSpaceDN/>
        <w:bidi w:val="0"/>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测评准备活动的目标是顺利启动测评项目,收集定级对象相关资料,准备测评所需资料,为编制测评方案打下良好的基础。 </w:t>
      </w:r>
    </w:p>
    <w:p>
      <w:pPr>
        <w:pageBreakBefore w:val="0"/>
        <w:widowControl/>
        <w:kinsoku/>
        <w:wordWrap/>
        <w:overflowPunct/>
        <w:topLinePunct w:val="0"/>
        <w:autoSpaceDE/>
        <w:autoSpaceDN/>
        <w:bidi w:val="0"/>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测评准备工作应包括工作启动、信息收集和分析、工具和表单准备。 </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详细要求见下表：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96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shd w:val="clear" w:color="auto" w:fill="D9D9D9"/>
            <w:noWrap w:val="0"/>
            <w:vAlign w:val="top"/>
          </w:tcPr>
          <w:p>
            <w:pPr>
              <w:pageBreakBefore w:val="0"/>
              <w:kinsoku/>
              <w:wordWrap/>
              <w:overflowPunct/>
              <w:topLinePunct w:val="0"/>
              <w:autoSpaceDE/>
              <w:autoSpaceDN/>
              <w:bidi w:val="0"/>
              <w:spacing w:before="100" w:beforeAutospacing="1" w:after="100" w:afterAutospacing="1" w:line="360" w:lineRule="auto"/>
              <w:jc w:val="center"/>
              <w:rPr>
                <w:rFonts w:hint="eastAsia" w:ascii="宋体" w:hAnsi="宋体" w:eastAsia="宋体" w:cs="宋体"/>
                <w:b/>
                <w:sz w:val="24"/>
                <w:szCs w:val="24"/>
              </w:rPr>
            </w:pPr>
            <w:r>
              <w:rPr>
                <w:rFonts w:hint="eastAsia" w:ascii="宋体" w:hAnsi="宋体" w:eastAsia="宋体" w:cs="宋体"/>
                <w:b/>
                <w:sz w:val="24"/>
                <w:szCs w:val="24"/>
              </w:rPr>
              <w:t>项目内容</w:t>
            </w:r>
          </w:p>
        </w:tc>
        <w:tc>
          <w:tcPr>
            <w:tcW w:w="3969" w:type="dxa"/>
            <w:shd w:val="clear" w:color="auto" w:fill="D9D9D9"/>
            <w:noWrap w:val="0"/>
            <w:vAlign w:val="top"/>
          </w:tcPr>
          <w:p>
            <w:pPr>
              <w:pageBreakBefore w:val="0"/>
              <w:kinsoku/>
              <w:wordWrap/>
              <w:overflowPunct/>
              <w:topLinePunct w:val="0"/>
              <w:autoSpaceDE/>
              <w:autoSpaceDN/>
              <w:bidi w:val="0"/>
              <w:spacing w:before="100" w:beforeAutospacing="1" w:after="100" w:afterAutospacing="1" w:line="360" w:lineRule="auto"/>
              <w:jc w:val="center"/>
              <w:rPr>
                <w:rFonts w:hint="eastAsia" w:ascii="宋体" w:hAnsi="宋体" w:eastAsia="宋体" w:cs="宋体"/>
                <w:b/>
                <w:sz w:val="24"/>
                <w:szCs w:val="24"/>
              </w:rPr>
            </w:pPr>
            <w:r>
              <w:rPr>
                <w:rFonts w:hint="eastAsia" w:ascii="宋体" w:hAnsi="宋体" w:eastAsia="宋体" w:cs="宋体"/>
                <w:b/>
                <w:sz w:val="24"/>
                <w:szCs w:val="24"/>
              </w:rPr>
              <w:t>工作内容</w:t>
            </w:r>
          </w:p>
        </w:tc>
        <w:tc>
          <w:tcPr>
            <w:tcW w:w="2977" w:type="dxa"/>
            <w:shd w:val="clear" w:color="auto" w:fill="D9D9D9"/>
            <w:noWrap w:val="0"/>
            <w:vAlign w:val="top"/>
          </w:tcPr>
          <w:p>
            <w:pPr>
              <w:pageBreakBefore w:val="0"/>
              <w:kinsoku/>
              <w:wordWrap/>
              <w:overflowPunct/>
              <w:topLinePunct w:val="0"/>
              <w:autoSpaceDE/>
              <w:autoSpaceDN/>
              <w:bidi w:val="0"/>
              <w:spacing w:before="100" w:beforeAutospacing="1" w:after="100" w:afterAutospacing="1" w:line="360" w:lineRule="auto"/>
              <w:jc w:val="center"/>
              <w:rPr>
                <w:rFonts w:hint="eastAsia" w:ascii="宋体" w:hAnsi="宋体" w:eastAsia="宋体" w:cs="宋体"/>
                <w:b/>
                <w:sz w:val="24"/>
                <w:szCs w:val="24"/>
              </w:rPr>
            </w:pPr>
            <w:r>
              <w:rPr>
                <w:rFonts w:hint="eastAsia" w:ascii="宋体" w:hAnsi="宋体" w:eastAsia="宋体" w:cs="宋体"/>
                <w:b/>
                <w:sz w:val="24"/>
                <w:szCs w:val="24"/>
              </w:rPr>
              <w:t>成果输出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项目启动</w:t>
            </w: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1.组建测评项目组</w:t>
            </w:r>
          </w:p>
        </w:tc>
        <w:tc>
          <w:tcPr>
            <w:tcW w:w="2977"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向测评委托单位提交《项目计划书》、《提供资料清单》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2.编制《项目计划书》</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3.确定测评委托单位应提供的资料</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384"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信息收集分析</w:t>
            </w:r>
          </w:p>
        </w:tc>
        <w:tc>
          <w:tcPr>
            <w:tcW w:w="3969"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kern w:val="0"/>
                <w:sz w:val="24"/>
                <w:szCs w:val="24"/>
              </w:rPr>
              <w:t>整理调查表单</w:t>
            </w:r>
          </w:p>
        </w:tc>
        <w:tc>
          <w:tcPr>
            <w:tcW w:w="2977"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《等级保护对象调查表》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2.发放调查表单给测评委托单位</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3.协助测评委托单位填写调查表</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4.收回调查结果</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5.分析调查结查</w:t>
            </w:r>
          </w:p>
        </w:tc>
        <w:tc>
          <w:tcPr>
            <w:tcW w:w="2977"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384"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工具和表单准备</w:t>
            </w: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1.调试测评工具</w:t>
            </w:r>
          </w:p>
        </w:tc>
        <w:tc>
          <w:tcPr>
            <w:tcW w:w="2977" w:type="dxa"/>
            <w:vMerge w:val="restart"/>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确定测评工具（测评工具清单）《现场测评授权书》打印各类表单:风险告知书、文档交接单、会议记录表单、会议签到表单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 xml:space="preserve">2.模拟被测定级对象架构，熟悉被测定级对象 </w:t>
            </w:r>
          </w:p>
        </w:tc>
        <w:tc>
          <w:tcPr>
            <w:tcW w:w="2977" w:type="dxa"/>
            <w:vMerge w:val="continue"/>
            <w:noWrap w:val="0"/>
            <w:vAlign w:val="top"/>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c>
          <w:tcPr>
            <w:tcW w:w="3969" w:type="dxa"/>
            <w:noWrap w:val="0"/>
            <w:vAlign w:val="center"/>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r>
              <w:rPr>
                <w:rFonts w:hint="eastAsia" w:ascii="宋体" w:hAnsi="宋体" w:eastAsia="宋体" w:cs="宋体"/>
                <w:sz w:val="24"/>
                <w:szCs w:val="24"/>
              </w:rPr>
              <w:t xml:space="preserve">3.准备和打印各类表单 </w:t>
            </w:r>
          </w:p>
        </w:tc>
        <w:tc>
          <w:tcPr>
            <w:tcW w:w="2977" w:type="dxa"/>
            <w:vMerge w:val="continue"/>
            <w:noWrap w:val="0"/>
            <w:vAlign w:val="top"/>
          </w:tcPr>
          <w:p>
            <w:pPr>
              <w:pageBreakBefore w:val="0"/>
              <w:kinsoku/>
              <w:wordWrap/>
              <w:overflowPunct/>
              <w:topLinePunct w:val="0"/>
              <w:autoSpaceDE/>
              <w:autoSpaceDN/>
              <w:bidi w:val="0"/>
              <w:spacing w:before="100" w:beforeAutospacing="1" w:after="100" w:afterAutospacing="1" w:line="360" w:lineRule="auto"/>
              <w:rPr>
                <w:rFonts w:hint="eastAsia" w:ascii="宋体" w:hAnsi="宋体" w:eastAsia="宋体" w:cs="宋体"/>
                <w:sz w:val="24"/>
                <w:szCs w:val="24"/>
              </w:rPr>
            </w:pPr>
          </w:p>
        </w:tc>
      </w:tr>
    </w:tbl>
    <w:p>
      <w:pPr>
        <w:keepNext/>
        <w:keepLines/>
        <w:pageBreakBefore w:val="0"/>
        <w:kinsoku/>
        <w:wordWrap/>
        <w:overflowPunct/>
        <w:topLinePunct w:val="0"/>
        <w:autoSpaceDE/>
        <w:autoSpaceDN/>
        <w:bidi w:val="0"/>
        <w:spacing w:before="280" w:after="290" w:line="360" w:lineRule="auto"/>
        <w:outlineLvl w:val="4"/>
        <w:rPr>
          <w:rFonts w:hint="eastAsia" w:ascii="宋体" w:hAnsi="宋体" w:eastAsia="宋体" w:cs="宋体"/>
          <w:b/>
          <w:bCs/>
          <w:sz w:val="24"/>
          <w:szCs w:val="24"/>
        </w:rPr>
      </w:pPr>
      <w:bookmarkStart w:id="11" w:name="_Toc316920802"/>
      <w:bookmarkStart w:id="12" w:name="_Toc24017666"/>
      <w:bookmarkStart w:id="13" w:name="_Toc468894612"/>
      <w:bookmarkStart w:id="14" w:name="_Toc468978626"/>
      <w:r>
        <w:rPr>
          <w:rFonts w:hint="eastAsia" w:ascii="宋体" w:hAnsi="宋体" w:eastAsia="宋体" w:cs="宋体"/>
          <w:b/>
          <w:bCs/>
          <w:sz w:val="24"/>
          <w:szCs w:val="24"/>
        </w:rPr>
        <w:t>3.1.1.2方案编制</w:t>
      </w:r>
      <w:bookmarkEnd w:id="11"/>
      <w:r>
        <w:rPr>
          <w:rFonts w:hint="eastAsia" w:ascii="宋体" w:hAnsi="宋体" w:eastAsia="宋体" w:cs="宋体"/>
          <w:b/>
          <w:bCs/>
          <w:sz w:val="24"/>
          <w:szCs w:val="24"/>
        </w:rPr>
        <w:t>活动</w:t>
      </w:r>
      <w:bookmarkEnd w:id="12"/>
      <w:bookmarkEnd w:id="13"/>
      <w:bookmarkEnd w:id="14"/>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方案编制活动的目标是整理测评准备活动中获取的定级对象相关资料,为现场测评活动提供最基本的文档和指导方案。</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方案编制活动应包括测评对象确定、测评指标确定、测评内容确定、工具测试方法确定、测评指导书开发及测评方案编制等六项主要任务。</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详细要求见下表：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96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384"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工作内容</w:t>
            </w:r>
          </w:p>
        </w:tc>
        <w:tc>
          <w:tcPr>
            <w:tcW w:w="4961"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工作详细任务</w:t>
            </w:r>
          </w:p>
        </w:tc>
        <w:tc>
          <w:tcPr>
            <w:tcW w:w="1843"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输出成果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一、测评对象确认</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分析并确定被测定级对象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识别并描述被测定级对象的整体结构</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识别并描述被测定级对象的边界</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识别并描述被测定级对象的网络区域</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识别并描述被测定级对象的主要设备</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确定测评对象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描述测评对象</w:t>
            </w:r>
          </w:p>
        </w:tc>
        <w:tc>
          <w:tcPr>
            <w:tcW w:w="1843"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《测评方案》的测评对象部分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二、测评指标确定</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确定被测定级对象业务信息和系统服务安全保护等级</w:t>
            </w:r>
          </w:p>
        </w:tc>
        <w:tc>
          <w:tcPr>
            <w:tcW w:w="1843"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《测评方案》的测评指标部分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根据被测定级对象的A 类、S类及G 类基本安全要求的组合情况,从GB/T22239、行业规范中选择相应等级的基本安全要求作为基本测评指标</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根据测评委托单位及被测定级对象业务自身需求, 确定特殊测评指标。</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根据测评委托单位及被测定级对象业务自身需求, 确定特殊测评指标。</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对确定基本测评指标和特殊测评指标进行描述,并分析给出指标不适用的原因</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三、测评内 容确定</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确定每个测评对象对应的每个测评指标的测评方法</w:t>
            </w:r>
          </w:p>
        </w:tc>
        <w:tc>
          <w:tcPr>
            <w:tcW w:w="1843"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《测评方案》的</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单项测评实施部分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确定实施测评的单项测评内容</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四、工具测试点确定</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确定工具测试环境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确定工具测试工具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确定工具测试的测评对象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选择测试路径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确定测试工具的接入点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本次项目测评需要使用到如下工具: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漏洞扫描工具;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Windows 主机安全配置检查工具;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Linux 主机配置检查工具;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网络及安全设备配置检查工具;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病毒检查工具;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木马检查工具;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网站恶意代码检查工具;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在线检查工具(网站安全检查工具);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终端安全检查工具;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口令破解工具;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渗透测试工具;</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SQL 注入验证检查工具;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在线数据库安全检查工具。 </w:t>
            </w:r>
          </w:p>
        </w:tc>
        <w:tc>
          <w:tcPr>
            <w:tcW w:w="1843"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《测评方案》的</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的工具测试方法及内容部分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五、测评指导书开发</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确定单个测评对象，内容包含测评对象的名称、位置信息、用途、管理人员等信息</w:t>
            </w:r>
          </w:p>
        </w:tc>
        <w:tc>
          <w:tcPr>
            <w:tcW w:w="1843" w:type="dxa"/>
            <w:vMerge w:val="restart"/>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测评指导书、测</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评结果记录表格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确定单项测评实施活动,包括测评项、测评方法、操作步骤和预期结果等四部分 </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确定单项测评、整体测评表述形式</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根据测评指导书,形成测评结果记录表格 </w:t>
            </w:r>
          </w:p>
        </w:tc>
        <w:tc>
          <w:tcPr>
            <w:tcW w:w="1843"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六、测评方案编制</w:t>
            </w: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明确项目整体情况和测评活动依据</w:t>
            </w:r>
          </w:p>
        </w:tc>
        <w:tc>
          <w:tcPr>
            <w:tcW w:w="1843"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向测评委托单位提交经过评审和确认的《测评方案》、</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《风险规避实施方案》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根据测评协议书和被测定级对象情况,估算现场测 评工作量 </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根据测评项目组成员安排,编制工作安排情况 </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根据以往测评经验以及被测定级对象规模,编制具体测评计划,包括现场工作人员的分工和时间安排 </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汇总上述内容及方案编制活动的其他任务获取的</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内容形成测评方案文稿 </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评审和提交测评方案 </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4"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96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根据测评方案制定风险规避实施方案</w:t>
            </w:r>
          </w:p>
        </w:tc>
        <w:tc>
          <w:tcPr>
            <w:tcW w:w="1843"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bl>
    <w:p>
      <w:pPr>
        <w:pageBreakBefore w:val="0"/>
        <w:kinsoku/>
        <w:wordWrap/>
        <w:overflowPunct/>
        <w:topLinePunct w:val="0"/>
        <w:autoSpaceDE/>
        <w:autoSpaceDN/>
        <w:bidi w:val="0"/>
        <w:spacing w:line="360" w:lineRule="auto"/>
        <w:jc w:val="center"/>
        <w:rPr>
          <w:rFonts w:hint="eastAsia" w:ascii="宋体" w:hAnsi="宋体" w:eastAsia="宋体" w:cs="宋体"/>
          <w:sz w:val="24"/>
          <w:szCs w:val="24"/>
        </w:rPr>
      </w:pPr>
    </w:p>
    <w:p>
      <w:pPr>
        <w:keepNext/>
        <w:keepLines/>
        <w:pageBreakBefore w:val="0"/>
        <w:kinsoku/>
        <w:wordWrap/>
        <w:overflowPunct/>
        <w:topLinePunct w:val="0"/>
        <w:autoSpaceDE/>
        <w:autoSpaceDN/>
        <w:bidi w:val="0"/>
        <w:spacing w:before="280" w:after="290" w:line="360" w:lineRule="auto"/>
        <w:outlineLvl w:val="4"/>
        <w:rPr>
          <w:rFonts w:hint="eastAsia" w:ascii="宋体" w:hAnsi="宋体" w:eastAsia="宋体" w:cs="宋体"/>
          <w:b/>
          <w:bCs/>
          <w:sz w:val="24"/>
          <w:szCs w:val="24"/>
        </w:rPr>
      </w:pPr>
      <w:r>
        <w:rPr>
          <w:rFonts w:hint="eastAsia" w:ascii="宋体" w:hAnsi="宋体" w:eastAsia="宋体" w:cs="宋体"/>
          <w:b/>
          <w:bCs/>
          <w:sz w:val="24"/>
          <w:szCs w:val="24"/>
        </w:rPr>
        <w:t xml:space="preserve">3.1.1.3现场测评活动 </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现场测评活动通过与测评委托单位进行沟通和协调,为现场测评的顺利开展 打下良好基础,依据测评方案实施现场测评工作,将测评方案和测评方法等内容具体落实到现场测评活动中。现场测评工作主要取得报告编制活动所需的、足够的证据和资料。 </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现场测评活动应包括现场测评准备、现场测评和结果记录、结果确认和资料归还三项主要任务。</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详细要求见下表：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119"/>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工作内容</w:t>
            </w:r>
          </w:p>
        </w:tc>
        <w:tc>
          <w:tcPr>
            <w:tcW w:w="3119"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工作详细任务</w:t>
            </w:r>
          </w:p>
        </w:tc>
        <w:tc>
          <w:tcPr>
            <w:tcW w:w="3260"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1.现场测评准备</w:t>
            </w: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测评委托单位对风险告知书签字确认</w:t>
            </w:r>
          </w:p>
        </w:tc>
        <w:tc>
          <w:tcPr>
            <w:tcW w:w="3260"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会议记录，风险告知书，测评</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方案和现场测评工作计划，现</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场测评授权书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测评委托单位协助测评机构签署现场测评授权书</w:t>
            </w:r>
          </w:p>
        </w:tc>
        <w:tc>
          <w:tcPr>
            <w:tcW w:w="3260"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召开现场测评首次会 </w:t>
            </w:r>
          </w:p>
        </w:tc>
        <w:tc>
          <w:tcPr>
            <w:tcW w:w="3260"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双方确认测评计划和测评方案</w:t>
            </w:r>
          </w:p>
        </w:tc>
        <w:tc>
          <w:tcPr>
            <w:tcW w:w="3260"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双方确认配合人员、测评环境等各种现场测评需要的资源</w:t>
            </w:r>
          </w:p>
        </w:tc>
        <w:tc>
          <w:tcPr>
            <w:tcW w:w="3260"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1809"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2.现场测评和结果记录</w:t>
            </w: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确认测评对象的关键数据已经进行了备份</w:t>
            </w:r>
          </w:p>
        </w:tc>
        <w:tc>
          <w:tcPr>
            <w:tcW w:w="3260"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《各类测评结果记录/测评证据 和证据源记录/文档交接/规划 记录单》 </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访谈结果:安全物理环境、安 全通信网络、安全区域边界、 安全计算环境、安全管理中 心、安全管理制度、安全管理 机构、安全管理人员、安全建 设管理、安全运维管理安全测 评的测评结果记录或录音 ; </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文档审查结果:安全管理中</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心、安全管理制度、安全管理</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机构、安全管理人员、安全建</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设管理、安全运维管理测评的</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测评结果记录;</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配置核查结果:安全物理环</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境、安全通信网络、安全区域</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边界、安全计算环境、安全管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理中心测评结果记录表格</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工具测试结果: 安全物理环 境、安全通信网络、安全区域 </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边界、安全计算环境、安全管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理中心测评结果记录，工具测</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试完成后的电子输出记录，备</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份的测试结果文件</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实地察看结果:安全物理环</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境、安全通信网络、安全区域</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边界、安全计算环境、安全管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理中心、安全管理制度、安全</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管理机构、安全管理人员、安</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全建设管理、安全运维管理测</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评结果记录</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测评结果确认:现场核查中发</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现的问题汇总、测评证据和证</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据源记录、测评委托单位的书</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面认可文件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确认具备测评工作开展的条</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件，测评对象工作正常，系统处于一个相对良好的状况</w:t>
            </w: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根据测评指导书实施现场测</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评，获取相关证据和信息</w:t>
            </w: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测评结束后，双方确认测评工作是否对测评对象造成不良影响,测评对象及系统是否工作正常 </w:t>
            </w: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3.结果确认和资料归还</w:t>
            </w: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汇总测评记录，对漏掉和需要进一步验证的内容实施补充测评</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8" w:hRule="atLeast"/>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召开现场测评结束会，测评双方对测评过程中得到的证据源记录进行确认</w:t>
            </w: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119"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测评人员归还借阅的所有文档资料，并由测评委托单位文档资料提供者签字确认</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3260"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bl>
    <w:p>
      <w:pPr>
        <w:pageBreakBefore w:val="0"/>
        <w:kinsoku/>
        <w:wordWrap/>
        <w:overflowPunct/>
        <w:topLinePunct w:val="0"/>
        <w:autoSpaceDE/>
        <w:autoSpaceDN/>
        <w:bidi w:val="0"/>
        <w:spacing w:line="360" w:lineRule="auto"/>
        <w:rPr>
          <w:rFonts w:hint="eastAsia" w:ascii="宋体" w:hAnsi="宋体" w:eastAsia="宋体" w:cs="宋体"/>
          <w:sz w:val="24"/>
          <w:szCs w:val="24"/>
        </w:rPr>
      </w:pPr>
    </w:p>
    <w:p>
      <w:pPr>
        <w:keepNext/>
        <w:keepLines/>
        <w:pageBreakBefore w:val="0"/>
        <w:kinsoku/>
        <w:wordWrap/>
        <w:overflowPunct/>
        <w:topLinePunct w:val="0"/>
        <w:autoSpaceDE/>
        <w:autoSpaceDN/>
        <w:bidi w:val="0"/>
        <w:spacing w:before="280" w:after="290" w:line="360" w:lineRule="auto"/>
        <w:outlineLvl w:val="4"/>
        <w:rPr>
          <w:rFonts w:hint="eastAsia" w:ascii="宋体" w:hAnsi="宋体" w:eastAsia="宋体" w:cs="宋体"/>
          <w:b/>
          <w:bCs/>
          <w:sz w:val="24"/>
          <w:szCs w:val="24"/>
        </w:rPr>
      </w:pPr>
      <w:r>
        <w:rPr>
          <w:rFonts w:hint="eastAsia" w:ascii="宋体" w:hAnsi="宋体" w:eastAsia="宋体" w:cs="宋体"/>
          <w:b/>
          <w:bCs/>
          <w:sz w:val="24"/>
          <w:szCs w:val="24"/>
        </w:rPr>
        <w:t xml:space="preserve">3.1.1.4报告编制活动 </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在现场测评工作结束后，应对现场测评获得的测评结果(或称测评证据)进行汇总分析，形成等级测评结论，并编制测评报告。</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测评人员在初步判定单项测评结果后,还需进行单元测评结果判定、整体测评、系统安全保障评估, 经过整体测评后,有的单项测评结果可能会有所变化, 需进一步修订单项测评结果,而后针对安全问题进行风险评估,形成等级测评结论。报告编制活动应包括单项测评结果判定、单元测评结果判定、整体测评、系统安全保障评估、安全问题风险分析、等级测评结论形成及测评报告编制七项主要任务。 </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详细要求见下表：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1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工作内容</w:t>
            </w:r>
          </w:p>
        </w:tc>
        <w:tc>
          <w:tcPr>
            <w:tcW w:w="4111"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工作详细任务</w:t>
            </w:r>
          </w:p>
        </w:tc>
        <w:tc>
          <w:tcPr>
            <w:tcW w:w="2551" w:type="dxa"/>
            <w:shd w:val="clear" w:color="auto" w:fill="D9D9D9"/>
            <w:noWrap w:val="0"/>
            <w:vAlign w:val="top"/>
          </w:tcPr>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工作依据（模版）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1.单项测评结果判定</w:t>
            </w: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分析测评项所对抗威胁的存在情况</w:t>
            </w:r>
          </w:p>
        </w:tc>
        <w:tc>
          <w:tcPr>
            <w:tcW w:w="2551" w:type="dxa"/>
            <w:vMerge w:val="restart"/>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测评报告的等级测评结果记录部分</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分析单项测评项的测评证据,并与要求内容的预期测评结果相比较,给出单项测评 结果和符合程度得分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综合判定单项测评项的测评结果</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2.单元测评结果判定</w:t>
            </w: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汇总不同测评对象对应测评指标的单项测评结果情况</w:t>
            </w:r>
          </w:p>
        </w:tc>
        <w:tc>
          <w:tcPr>
            <w:tcW w:w="2551"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测评报告的单元测评小结部分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判定每个测评对象的单元测评结果</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3.整体测评</w:t>
            </w: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分析不符合和部分符合的测评项与其他测评项(包括安全控制点、安全控制点间、区域间)之间的关联关系及对结果的影响情况</w:t>
            </w:r>
          </w:p>
        </w:tc>
        <w:tc>
          <w:tcPr>
            <w:tcW w:w="2551"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测评报告的整体测评部分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根据整体测评分析情况,修正单项测评结果符合程度得分和问题严重程度值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4.系统安全 保障评估 </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根据整体测评结果,计算修正后的每个测评对象的单项测评结果和符合程度得分 </w:t>
            </w:r>
          </w:p>
        </w:tc>
        <w:tc>
          <w:tcPr>
            <w:tcW w:w="2551"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测评报告的系统安全保障评估部分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根据各对象的单项符合程度得分,计算安全控制点得分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根据安全控制点得分,计算安全层面得分</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根据安全控制点得分和安全层面得分,总体评价被测定级对象已采取的有效保护措施和存在的主要安全问题情况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5.安全问题 风险分析 </w:t>
            </w:r>
          </w:p>
        </w:tc>
        <w:tc>
          <w:tcPr>
            <w:tcW w:w="4111"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针对整体测评后的单项测评结果中部分符合项或不符合项所产生的安全问题,结合关联测评 对象和威胁,分析可能对定级对象、单位、社会及国家造成的安全危害 </w:t>
            </w:r>
          </w:p>
        </w:tc>
        <w:tc>
          <w:tcPr>
            <w:tcW w:w="2551" w:type="dxa"/>
            <w:vMerge w:val="restart"/>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测评报告的安全问题风险分析部分</w:t>
            </w:r>
          </w:p>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结合安全问题所影响业务的重要程度、 相关系统组件的重要程度、安全问题严重程度以及安全事件影响范围等综合分析可能造成的安全危害中的最大安全危 害(损失)结果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根据最大安全危害严重程度进一步确定定级对象面临的风险等级,结果为“高”“中”或“低” </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6.等级测评结论形成</w:t>
            </w:r>
          </w:p>
        </w:tc>
        <w:tc>
          <w:tcPr>
            <w:tcW w:w="4111" w:type="dxa"/>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统计再次汇总后的单项测评结果为部分符合和不符合项的项数</w:t>
            </w:r>
          </w:p>
        </w:tc>
        <w:tc>
          <w:tcPr>
            <w:tcW w:w="2551"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等级测评报告的等级测评结论部分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计算定级对象综合得分，形成等级测评结论，形成等级测评结论</w:t>
            </w:r>
          </w:p>
        </w:tc>
        <w:tc>
          <w:tcPr>
            <w:tcW w:w="2551"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7.测评报告编制</w:t>
            </w:r>
          </w:p>
        </w:tc>
        <w:tc>
          <w:tcPr>
            <w:tcW w:w="411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概述测评项目情况，整理前面几项任务的输出/产品 </w:t>
            </w:r>
          </w:p>
        </w:tc>
        <w:tc>
          <w:tcPr>
            <w:tcW w:w="2551" w:type="dxa"/>
            <w:vMerge w:val="restart"/>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经过评审和确认的被测定级对象等级测评报告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针对被测定级对象存在的安全隐患，提出处置建议</w:t>
            </w:r>
          </w:p>
        </w:tc>
        <w:tc>
          <w:tcPr>
            <w:tcW w:w="2551"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根据测评协议书、测评委托单位提交的相关文档、测评原始记录和其他辅助信息,对测评报告进行评审 </w:t>
            </w:r>
          </w:p>
        </w:tc>
        <w:tc>
          <w:tcPr>
            <w:tcW w:w="2551"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c>
          <w:tcPr>
            <w:tcW w:w="4111" w:type="dxa"/>
            <w:noWrap w:val="0"/>
            <w:vAlign w:val="center"/>
          </w:tcPr>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评审通过后,由项目负责人签字确认并提交给测评委托单位 </w:t>
            </w:r>
          </w:p>
        </w:tc>
        <w:tc>
          <w:tcPr>
            <w:tcW w:w="2551" w:type="dxa"/>
            <w:vMerge w:val="continue"/>
            <w:noWrap w:val="0"/>
            <w:vAlign w:val="top"/>
          </w:tcPr>
          <w:p>
            <w:pPr>
              <w:pageBreakBefore w:val="0"/>
              <w:kinsoku/>
              <w:wordWrap/>
              <w:overflowPunct/>
              <w:topLinePunct w:val="0"/>
              <w:autoSpaceDE/>
              <w:autoSpaceDN/>
              <w:bidi w:val="0"/>
              <w:spacing w:line="360" w:lineRule="auto"/>
              <w:rPr>
                <w:rFonts w:hint="eastAsia" w:ascii="宋体" w:hAnsi="宋体" w:eastAsia="宋体" w:cs="宋体"/>
                <w:sz w:val="24"/>
                <w:szCs w:val="24"/>
              </w:rPr>
            </w:pPr>
          </w:p>
        </w:tc>
      </w:tr>
    </w:tbl>
    <w:p>
      <w:pPr>
        <w:keepNext/>
        <w:keepLines/>
        <w:pageBreakBefore w:val="0"/>
        <w:kinsoku/>
        <w:wordWrap/>
        <w:overflowPunct/>
        <w:topLinePunct w:val="0"/>
        <w:autoSpaceDE/>
        <w:autoSpaceDN/>
        <w:bidi w:val="0"/>
        <w:spacing w:before="280" w:after="290" w:line="360" w:lineRule="auto"/>
        <w:outlineLvl w:val="4"/>
        <w:rPr>
          <w:rFonts w:hint="eastAsia" w:ascii="宋体" w:hAnsi="宋体" w:eastAsia="宋体" w:cs="宋体"/>
          <w:b/>
          <w:bCs/>
          <w:sz w:val="24"/>
          <w:szCs w:val="24"/>
        </w:rPr>
      </w:pPr>
      <w:r>
        <w:rPr>
          <w:rFonts w:hint="eastAsia" w:ascii="宋体" w:hAnsi="宋体" w:eastAsia="宋体" w:cs="宋体"/>
          <w:b/>
          <w:bCs/>
          <w:sz w:val="24"/>
          <w:szCs w:val="24"/>
        </w:rPr>
        <w:t xml:space="preserve">3.1.1.5 测评实施活动文档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测评机构在上述各阶段活动的测评实施服务过程中，根据服务规范和测评委托单位要求，提供系统、完整、清晰的服务日常报告。</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提供的服务文档应至少但不限于如下文档:</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测评准备活动阶段: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《项目计划书》;</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《等级保护对象调查表》;</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《会议记录表》;</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方案编制活动阶段:</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《网络安全等级保护测评方案》;</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《测评指导书》;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《风险规避实施方案》;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现场测评活动阶段: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《现场测评授权书》;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《文档交接单》;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《会议记录》;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报告编制活动阶段: </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按系统提交《网络安全等级保护等级测评报告》，并针对该信息系统提出安全整改建议。</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3.2</w:t>
      </w:r>
      <w:r>
        <w:rPr>
          <w:rFonts w:hint="eastAsia" w:ascii="宋体" w:hAnsi="宋体" w:eastAsia="宋体" w:cs="宋体"/>
          <w:color w:val="000000"/>
          <w:sz w:val="24"/>
          <w:szCs w:val="24"/>
        </w:rPr>
        <w:t xml:space="preserve"> </w:t>
      </w:r>
      <w:r>
        <w:rPr>
          <w:rFonts w:hint="eastAsia" w:ascii="宋体" w:hAnsi="宋体" w:eastAsia="宋体" w:cs="宋体"/>
          <w:sz w:val="24"/>
          <w:szCs w:val="24"/>
        </w:rPr>
        <w:t>安全建设整改方案设计服务</w:t>
      </w:r>
    </w:p>
    <w:p>
      <w:pPr>
        <w:pageBreakBefore w:val="0"/>
        <w:kinsoku/>
        <w:wordWrap/>
        <w:overflowPunct/>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投标人自合同生效且收到招标人开工令之日起60日内，</w:t>
      </w:r>
      <w:r>
        <w:rPr>
          <w:rFonts w:hint="eastAsia" w:ascii="宋体" w:hAnsi="宋体" w:eastAsia="宋体" w:cs="宋体"/>
          <w:sz w:val="24"/>
          <w:szCs w:val="24"/>
        </w:rPr>
        <w:t>投标人在完成网络安全等级保护等级测评后，根据本项目相关网络安全等级保护等级测评报告，针对等级测评过程发现的问题，将依据网络安全等级保护政策法规和标准规范，以及《关于开展信息安全等级保护安全建设整改工作的指导意见》(公信安[2009]1429号)的规定，并结合本项目招标人单位的实际情况，出具《安全建设整改设计方案》。</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3.3网络安全咨询服务</w:t>
      </w:r>
    </w:p>
    <w:p>
      <w:pPr>
        <w:pStyle w:val="6"/>
        <w:pageBreakBefore w:val="0"/>
        <w:kinsoku/>
        <w:wordWrap/>
        <w:overflowPunct/>
        <w:topLinePunct w:val="0"/>
        <w:autoSpaceDE/>
        <w:autoSpaceDN/>
        <w:bidi w:val="0"/>
        <w:spacing w:line="360" w:lineRule="auto"/>
        <w:rPr>
          <w:rFonts w:hint="eastAsia" w:ascii="宋体" w:hAnsi="宋体" w:eastAsia="宋体" w:cs="宋体"/>
          <w:sz w:val="24"/>
          <w:szCs w:val="24"/>
        </w:rPr>
      </w:pPr>
      <w:bookmarkStart w:id="15" w:name="_Toc367882616"/>
      <w:bookmarkStart w:id="16" w:name="_Toc335322412"/>
      <w:bookmarkStart w:id="17" w:name="_Toc369184098"/>
      <w:bookmarkStart w:id="18" w:name="_Toc335322069"/>
      <w:bookmarkStart w:id="19" w:name="_Toc386202987"/>
      <w:bookmarkStart w:id="20" w:name="_Toc335320500"/>
      <w:bookmarkStart w:id="21" w:name="_Toc367887011"/>
      <w:r>
        <w:rPr>
          <w:rFonts w:hint="eastAsia" w:ascii="宋体" w:hAnsi="宋体" w:eastAsia="宋体" w:cs="宋体"/>
          <w:sz w:val="24"/>
          <w:szCs w:val="24"/>
        </w:rPr>
        <w:t>3.3.1网络安全政策/标准咨询</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国家网络安全等级保护的工作推进，网络安全等级保护政策、法律法规和标准体系也会相应的发布和更新，投标人应针对本项目设立网络安全等级保护咨询平台，自合同验收之日起，提供1年咨询服务，咨询内容包括但不限于网络安全等级保护国内外发展动态、等级保护政策、法律法规和标准体系咨询服务。</w:t>
      </w:r>
    </w:p>
    <w:p>
      <w:pPr>
        <w:pStyle w:val="6"/>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3.3.2等级保护对象等级变更咨询</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海南医学院第一附属医院的信息系统部分完成信息系统的定级备案工作。随着信息系统的不断建设和发展，可能会出现信息系统等级变更情况。在信息系统出现等级变更时，投标人需协助海南医学院第一附属医院对信息系统进行识别，明确信息系统边界和定级对象，对信息系统的子系统进行划分，确定信息系统以及子系统的安全等级。</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定级阶段，投标人需根据等保相关主管部门和国家工信部的要求和指南，协助海南医学院第一附属医院完成定级对象确认、系统定级和定级备案工作。</w:t>
      </w:r>
    </w:p>
    <w:p>
      <w:pPr>
        <w:pStyle w:val="6"/>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3.3.3等级保护自查咨询</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按照等级保护相关政策要求，信息系统运营使用单位应定期对信息系统进行自查活动，在自查活动期间，投标人应提供海南医学院第一附属医院相应的咨询服务。</w:t>
      </w:r>
    </w:p>
    <w:p>
      <w:pPr>
        <w:pStyle w:val="4"/>
        <w:pageBreakBefore w:val="0"/>
        <w:tabs>
          <w:tab w:val="left" w:pos="576"/>
          <w:tab w:val="left" w:pos="1020"/>
        </w:tabs>
        <w:kinsoku/>
        <w:wordWrap/>
        <w:overflowPunct/>
        <w:topLinePunct w:val="0"/>
        <w:autoSpaceDE/>
        <w:autoSpaceDN/>
        <w:bidi w:val="0"/>
        <w:spacing w:line="360" w:lineRule="auto"/>
        <w:rPr>
          <w:rFonts w:hint="eastAsia" w:ascii="宋体" w:hAnsi="宋体" w:eastAsia="宋体" w:cs="宋体"/>
          <w:sz w:val="24"/>
          <w:szCs w:val="24"/>
        </w:rPr>
      </w:pPr>
      <w:bookmarkStart w:id="22" w:name="_Toc462306080"/>
      <w:r>
        <w:rPr>
          <w:rFonts w:hint="eastAsia" w:ascii="宋体" w:hAnsi="宋体" w:eastAsia="宋体" w:cs="宋体"/>
          <w:bCs w:val="0"/>
          <w:sz w:val="24"/>
          <w:szCs w:val="24"/>
          <w:lang w:val="en-US" w:eastAsia="zh-CN"/>
        </w:rPr>
        <w:t>4</w:t>
      </w:r>
      <w:r>
        <w:rPr>
          <w:rFonts w:hint="eastAsia" w:ascii="宋体" w:hAnsi="宋体" w:eastAsia="宋体" w:cs="宋体"/>
          <w:bCs w:val="0"/>
          <w:sz w:val="24"/>
          <w:szCs w:val="24"/>
        </w:rPr>
        <w:t>、</w:t>
      </w:r>
      <w:bookmarkEnd w:id="15"/>
      <w:bookmarkEnd w:id="16"/>
      <w:bookmarkEnd w:id="17"/>
      <w:bookmarkEnd w:id="18"/>
      <w:bookmarkEnd w:id="19"/>
      <w:bookmarkEnd w:id="20"/>
      <w:bookmarkEnd w:id="21"/>
      <w:bookmarkEnd w:id="22"/>
      <w:bookmarkStart w:id="23" w:name="_Toc386202998"/>
      <w:bookmarkStart w:id="24" w:name="_Toc244418549"/>
      <w:bookmarkStart w:id="25" w:name="_Toc335322420"/>
      <w:bookmarkStart w:id="26" w:name="_Toc335320508"/>
      <w:bookmarkStart w:id="27" w:name="_Toc369184106"/>
      <w:bookmarkStart w:id="28" w:name="_Toc367887020"/>
      <w:bookmarkStart w:id="29" w:name="_Toc335322077"/>
      <w:bookmarkStart w:id="30" w:name="_Toc367882625"/>
      <w:r>
        <w:rPr>
          <w:rFonts w:hint="eastAsia" w:ascii="宋体" w:hAnsi="宋体" w:eastAsia="宋体" w:cs="宋体"/>
          <w:bCs w:val="0"/>
          <w:sz w:val="24"/>
          <w:szCs w:val="24"/>
        </w:rPr>
        <w:t>项目的实施要求</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项目实施过程中，投标方应遵循国家标准、行业标准。</w:t>
      </w:r>
    </w:p>
    <w:p>
      <w:pPr>
        <w:pStyle w:val="5"/>
        <w:pageBreakBefore w:val="0"/>
        <w:tabs>
          <w:tab w:val="left" w:pos="737"/>
          <w:tab w:val="left" w:pos="1680"/>
        </w:tabs>
        <w:kinsoku/>
        <w:wordWrap/>
        <w:overflowPunct/>
        <w:topLinePunct w:val="0"/>
        <w:autoSpaceDE/>
        <w:autoSpaceDN/>
        <w:bidi w:val="0"/>
        <w:spacing w:line="360" w:lineRule="auto"/>
        <w:rPr>
          <w:rFonts w:hint="eastAsia" w:ascii="宋体" w:hAnsi="宋体" w:eastAsia="宋体" w:cs="宋体"/>
          <w:sz w:val="24"/>
          <w:szCs w:val="24"/>
        </w:rPr>
      </w:pPr>
      <w:bookmarkStart w:id="31" w:name="_Toc244418546"/>
      <w:bookmarkStart w:id="32" w:name="_Toc369184103"/>
      <w:bookmarkStart w:id="33" w:name="_Toc386202995"/>
      <w:bookmarkStart w:id="34" w:name="_Toc335322417"/>
      <w:bookmarkStart w:id="35" w:name="_Toc335320505"/>
      <w:bookmarkStart w:id="36" w:name="_Toc367887017"/>
      <w:bookmarkStart w:id="37" w:name="_Toc367882622"/>
      <w:bookmarkStart w:id="38" w:name="_Toc335322074"/>
      <w:r>
        <w:rPr>
          <w:rFonts w:hint="eastAsia" w:ascii="宋体" w:hAnsi="宋体" w:eastAsia="宋体" w:cs="宋体"/>
          <w:sz w:val="24"/>
          <w:szCs w:val="24"/>
        </w:rPr>
        <w:t>4.1项目实施要求</w:t>
      </w:r>
      <w:bookmarkEnd w:id="31"/>
      <w:bookmarkEnd w:id="32"/>
      <w:bookmarkEnd w:id="33"/>
      <w:bookmarkEnd w:id="34"/>
      <w:bookmarkEnd w:id="35"/>
      <w:bookmarkEnd w:id="36"/>
      <w:bookmarkEnd w:id="37"/>
      <w:bookmarkEnd w:id="38"/>
    </w:p>
    <w:p>
      <w:pPr>
        <w:pageBreakBefore w:val="0"/>
        <w:kinsoku/>
        <w:wordWrap/>
        <w:overflowPunct/>
        <w:topLinePunct w:val="0"/>
        <w:autoSpaceDE/>
        <w:autoSpaceDN/>
        <w:bidi w:val="0"/>
        <w:spacing w:line="360" w:lineRule="auto"/>
        <w:ind w:firstLine="360" w:firstLineChars="150"/>
        <w:rPr>
          <w:rFonts w:hint="eastAsia" w:ascii="宋体" w:hAnsi="宋体" w:eastAsia="宋体" w:cs="宋体"/>
          <w:color w:val="000000"/>
          <w:sz w:val="24"/>
          <w:szCs w:val="24"/>
        </w:rPr>
      </w:pPr>
      <w:bookmarkStart w:id="39" w:name="_Toc386202996"/>
      <w:bookmarkStart w:id="40" w:name="_Toc367887018"/>
      <w:bookmarkStart w:id="41" w:name="_Toc335322075"/>
      <w:bookmarkStart w:id="42" w:name="_Toc335320506"/>
      <w:bookmarkStart w:id="43" w:name="_Toc244418547"/>
      <w:bookmarkStart w:id="44" w:name="_Toc367882623"/>
      <w:bookmarkStart w:id="45" w:name="_Toc335322418"/>
      <w:bookmarkStart w:id="46" w:name="_Toc369184104"/>
      <w:r>
        <w:rPr>
          <w:rFonts w:hint="eastAsia" w:ascii="宋体" w:hAnsi="宋体" w:eastAsia="宋体" w:cs="宋体"/>
          <w:color w:val="000000"/>
          <w:sz w:val="24"/>
          <w:szCs w:val="24"/>
        </w:rPr>
        <w:t>在项目实施中投标方必须做到：</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提供项目实施组织架构；</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提供详细的项目实施方案和计划进度说明书；</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投标人应定期向招标人汇报项目的实施进度，包括但不限于项目经理在项目期间每周至少来招标人现场1次进行工作汇报，且电话要保持7*24小时通畅；</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为保障项目服务响应速度，投标人承诺项目实施期间及售后服务期内，提供本地化技术支持服务，对于招标人的电话咨询和常规服务请求在30分钟内予以答复，紧急服务请求在2小时内到达招标人现场；</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严格按照双方确定的计划进度保质保量完成工作；</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规范项目实施过程中的文档管理；</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项目实施中要引入风险管理、质量管理、成本管理；</w:t>
      </w:r>
    </w:p>
    <w:p>
      <w:pPr>
        <w:pStyle w:val="13"/>
        <w:pageBreakBefore w:val="0"/>
        <w:numPr>
          <w:ilvl w:val="0"/>
          <w:numId w:val="2"/>
        </w:numPr>
        <w:tabs>
          <w:tab w:val="left" w:pos="840"/>
          <w:tab w:val="clear" w:pos="1080"/>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实施人员必须签署《保密协议》，按照《保密协议》的要求开展相关工作。</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4.2实施团队要求</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实施团队成员名单及职责分工明确，项目期间在项目本地部署不少于10人的测评师团队，项目经理必须具有3年以上的等保测评服务项目管理经验，且每周到项目现场不少于一天；其中，本项目实施成员中，至少有2人具备等级保护高级测评师资格和有3人具备等级保护中级测评师资格，且属于投标人在册员工(以社保缴纳证明为认定依据)，实施测评工作的技术人员必须具备公安部信息安全等级保护评估中心颁发的《信息安全等级测评师证书》或中关村信息安全测评联盟颁发的《网络安全等级测评师证书》（以下统一简称为“测评师证书”），且在项目现场随身佩戴《测评师证书》备查。实施团队名单中所列人员的社保缴纳证明和《测评师证书》复印件需在投标文件中提供，并加盖公章。</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4.3项目验收</w:t>
      </w:r>
      <w:bookmarkEnd w:id="39"/>
      <w:bookmarkEnd w:id="40"/>
      <w:bookmarkEnd w:id="41"/>
      <w:bookmarkEnd w:id="42"/>
      <w:bookmarkEnd w:id="43"/>
      <w:bookmarkEnd w:id="44"/>
      <w:bookmarkEnd w:id="45"/>
      <w:bookmarkEnd w:id="46"/>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投标方必须书面通知招标方所完成的工作和准备进行验收的项目种类及验收开始时间，此通知书需经招标方认定后方可执行。</w:t>
      </w: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sz w:val="24"/>
          <w:szCs w:val="24"/>
        </w:rPr>
      </w:pPr>
      <w:bookmarkStart w:id="47" w:name="_Toc367887019"/>
      <w:bookmarkStart w:id="48" w:name="_Toc369184105"/>
      <w:bookmarkStart w:id="49" w:name="_Toc386202997"/>
      <w:bookmarkStart w:id="50" w:name="_Toc335322419"/>
      <w:bookmarkStart w:id="51" w:name="_Toc244418548"/>
      <w:bookmarkStart w:id="52" w:name="_Toc335322076"/>
      <w:bookmarkStart w:id="53" w:name="_Toc335320507"/>
      <w:bookmarkStart w:id="54" w:name="_Toc367882624"/>
      <w:r>
        <w:rPr>
          <w:rFonts w:hint="eastAsia" w:ascii="宋体" w:hAnsi="宋体" w:eastAsia="宋体" w:cs="宋体"/>
          <w:sz w:val="24"/>
          <w:szCs w:val="24"/>
        </w:rPr>
        <w:t>4.4验收组织</w:t>
      </w:r>
      <w:bookmarkEnd w:id="47"/>
      <w:bookmarkEnd w:id="48"/>
      <w:bookmarkEnd w:id="49"/>
      <w:bookmarkEnd w:id="50"/>
      <w:bookmarkEnd w:id="51"/>
      <w:bookmarkEnd w:id="52"/>
      <w:bookmarkEnd w:id="53"/>
      <w:bookmarkEnd w:id="54"/>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成立由招标方、中标方以及其他有关人员组成的验收小组，负责对项目进行全面的验收。</w:t>
      </w:r>
    </w:p>
    <w:p>
      <w:pPr>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p>
    <w:p>
      <w:pPr>
        <w:pStyle w:val="5"/>
        <w:pageBreakBefore w:val="0"/>
        <w:tabs>
          <w:tab w:val="left" w:pos="737"/>
        </w:tabs>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4.5验收标准</w:t>
      </w:r>
      <w:bookmarkEnd w:id="23"/>
      <w:bookmarkEnd w:id="24"/>
      <w:bookmarkEnd w:id="25"/>
      <w:bookmarkEnd w:id="26"/>
      <w:bookmarkEnd w:id="27"/>
      <w:bookmarkEnd w:id="28"/>
      <w:bookmarkEnd w:id="29"/>
      <w:bookmarkEnd w:id="30"/>
    </w:p>
    <w:p>
      <w:pPr>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完成了本项目内所有的服务工作；</w:t>
      </w:r>
    </w:p>
    <w:p>
      <w:pPr>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提交本项目内所有服务工作的服务成果；</w:t>
      </w:r>
    </w:p>
    <w:p>
      <w:pPr>
        <w:pageBreakBefore w:val="0"/>
        <w:numPr>
          <w:ilvl w:val="0"/>
          <w:numId w:val="3"/>
        </w:numPr>
        <w:kinsoku/>
        <w:wordWrap/>
        <w:overflowPunct/>
        <w:topLinePunct w:val="0"/>
        <w:autoSpaceDE/>
        <w:autoSpaceDN/>
        <w:bidi w:val="0"/>
        <w:spacing w:line="360" w:lineRule="auto"/>
        <w:rPr>
          <w:rFonts w:hint="eastAsia" w:ascii="宋体" w:hAnsi="宋体" w:eastAsia="宋体" w:cs="宋体"/>
          <w:sz w:val="24"/>
          <w:szCs w:val="24"/>
        </w:rPr>
      </w:pPr>
      <w:bookmarkStart w:id="55" w:name="_Toc367887030"/>
      <w:r>
        <w:rPr>
          <w:rFonts w:hint="eastAsia" w:ascii="宋体" w:hAnsi="宋体" w:eastAsia="宋体" w:cs="宋体"/>
          <w:sz w:val="24"/>
          <w:szCs w:val="24"/>
        </w:rPr>
        <w:t>提交项目实施阶段所有的过程文档。</w:t>
      </w:r>
    </w:p>
    <w:p>
      <w:pPr>
        <w:pStyle w:val="4"/>
        <w:pageBreakBefore w:val="0"/>
        <w:tabs>
          <w:tab w:val="left" w:pos="576"/>
          <w:tab w:val="left" w:pos="1020"/>
        </w:tabs>
        <w:kinsoku/>
        <w:wordWrap/>
        <w:overflowPunct/>
        <w:topLinePunct w:val="0"/>
        <w:autoSpaceDE/>
        <w:autoSpaceDN/>
        <w:bidi w:val="0"/>
        <w:spacing w:line="360" w:lineRule="auto"/>
        <w:rPr>
          <w:rFonts w:hint="eastAsia" w:ascii="宋体" w:hAnsi="宋体" w:eastAsia="宋体" w:cs="宋体"/>
          <w:bCs w:val="0"/>
          <w:sz w:val="24"/>
          <w:szCs w:val="24"/>
        </w:rPr>
      </w:pPr>
      <w:bookmarkStart w:id="56" w:name="_Toc462306082"/>
      <w:r>
        <w:rPr>
          <w:rFonts w:hint="eastAsia" w:ascii="宋体" w:hAnsi="宋体" w:eastAsia="宋体" w:cs="宋体"/>
          <w:bCs w:val="0"/>
          <w:sz w:val="24"/>
          <w:szCs w:val="24"/>
          <w:lang w:val="en-US" w:eastAsia="zh-CN"/>
        </w:rPr>
        <w:t>5</w:t>
      </w:r>
      <w:r>
        <w:rPr>
          <w:rFonts w:hint="eastAsia" w:ascii="宋体" w:hAnsi="宋体" w:eastAsia="宋体" w:cs="宋体"/>
          <w:bCs w:val="0"/>
          <w:sz w:val="24"/>
          <w:szCs w:val="24"/>
        </w:rPr>
        <w:t>、项目工期</w:t>
      </w:r>
      <w:bookmarkEnd w:id="56"/>
    </w:p>
    <w:p>
      <w:pPr>
        <w:pageBreakBefore w:val="0"/>
        <w:kinsoku/>
        <w:wordWrap/>
        <w:overflowPunct/>
        <w:topLinePunct w:val="0"/>
        <w:autoSpaceDE/>
        <w:autoSpaceDN/>
        <w:bidi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投标人自合同生效且收到招标人开工令之日起60日内，完成网络安全等级保护测评服务并提交</w:t>
      </w:r>
      <w:r>
        <w:rPr>
          <w:rFonts w:hint="eastAsia" w:ascii="宋体" w:hAnsi="宋体" w:eastAsia="宋体" w:cs="宋体"/>
          <w:sz w:val="24"/>
          <w:szCs w:val="24"/>
        </w:rPr>
        <w:t>《网络安全等级保护等级测评报告》和《安全建设整改设计方案》</w:t>
      </w:r>
      <w:r>
        <w:rPr>
          <w:rFonts w:hint="eastAsia" w:ascii="宋体" w:hAnsi="宋体" w:eastAsia="宋体" w:cs="宋体"/>
          <w:kern w:val="0"/>
          <w:sz w:val="24"/>
          <w:szCs w:val="24"/>
        </w:rPr>
        <w:t>。</w:t>
      </w:r>
    </w:p>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993"/>
        </w:tabs>
        <w:ind w:left="993" w:hanging="425"/>
      </w:pPr>
      <w:rPr>
        <w:rFonts w:hint="eastAsia"/>
      </w:rPr>
    </w:lvl>
    <w:lvl w:ilvl="1" w:tentative="0">
      <w:start w:val="1"/>
      <w:numFmt w:val="decimal"/>
      <w:lvlText w:val="%1%2."/>
      <w:lvlJc w:val="left"/>
      <w:pPr>
        <w:tabs>
          <w:tab w:val="left" w:pos="1135"/>
        </w:tabs>
        <w:ind w:left="1135" w:hanging="567"/>
      </w:pPr>
      <w:rPr>
        <w:rFonts w:hint="eastAsia" w:ascii="Times New Roman" w:hAnsi="Times New Roman" w:eastAsia="宋体"/>
      </w:rPr>
    </w:lvl>
    <w:lvl w:ilvl="2" w:tentative="0">
      <w:start w:val="1"/>
      <w:numFmt w:val="decimal"/>
      <w:lvlText w:val="%1%2.%3."/>
      <w:lvlJc w:val="left"/>
      <w:pPr>
        <w:tabs>
          <w:tab w:val="left" w:pos="1277"/>
        </w:tabs>
        <w:ind w:left="1277" w:hanging="709"/>
      </w:pPr>
    </w:lvl>
    <w:lvl w:ilvl="3" w:tentative="0">
      <w:start w:val="1"/>
      <w:numFmt w:val="decimal"/>
      <w:lvlText w:val="%1.%2.%3.%4."/>
      <w:lvlJc w:val="left"/>
      <w:pPr>
        <w:tabs>
          <w:tab w:val="left" w:pos="1419"/>
        </w:tabs>
        <w:ind w:left="1419" w:hanging="851"/>
      </w:pPr>
    </w:lvl>
    <w:lvl w:ilvl="4" w:tentative="0">
      <w:start w:val="1"/>
      <w:numFmt w:val="decimal"/>
      <w:lvlText w:val="%1.%2.%3.%4.%5."/>
      <w:lvlJc w:val="left"/>
      <w:pPr>
        <w:tabs>
          <w:tab w:val="left" w:pos="1560"/>
        </w:tabs>
        <w:ind w:left="1560" w:hanging="992"/>
      </w:pPr>
    </w:lvl>
    <w:lvl w:ilvl="5" w:tentative="0">
      <w:start w:val="1"/>
      <w:numFmt w:val="decimal"/>
      <w:lvlText w:val="%1.%2.%3.%4.%5.%6."/>
      <w:lvlJc w:val="left"/>
      <w:pPr>
        <w:tabs>
          <w:tab w:val="left" w:pos="1702"/>
        </w:tabs>
        <w:ind w:left="1702" w:hanging="1134"/>
      </w:p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
    <w:nsid w:val="2C306A21"/>
    <w:multiLevelType w:val="multilevel"/>
    <w:tmpl w:val="2C306A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CA3EE80"/>
    <w:multiLevelType w:val="singleLevel"/>
    <w:tmpl w:val="4CA3EE8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OGQ0OWY4NmI0N2M4YjEyNzNlMTlhNDAzZDI2ZTYifQ=="/>
  </w:docVars>
  <w:rsids>
    <w:rsidRoot w:val="57F13920"/>
    <w:rsid w:val="57F1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Indent"/>
    <w:basedOn w:val="1"/>
    <w:uiPriority w:val="0"/>
    <w:pPr>
      <w:ind w:firstLine="420"/>
    </w:pPr>
    <w:rPr>
      <w:szCs w:val="20"/>
    </w:rPr>
  </w:style>
  <w:style w:type="paragraph" w:styleId="8">
    <w:name w:val="Body Text"/>
    <w:basedOn w:val="1"/>
    <w:uiPriority w:val="0"/>
    <w:pPr>
      <w:spacing w:line="360" w:lineRule="auto"/>
    </w:pPr>
    <w:rPr>
      <w:sz w:val="24"/>
      <w:szCs w:val="20"/>
    </w:rPr>
  </w:style>
  <w:style w:type="paragraph" w:customStyle="1" w:styleId="11">
    <w:name w:val="List Paragraph"/>
    <w:basedOn w:val="1"/>
    <w:uiPriority w:val="0"/>
    <w:pPr>
      <w:widowControl/>
      <w:ind w:firstLine="420" w:firstLineChars="200"/>
    </w:pPr>
    <w:rPr>
      <w:rFonts w:ascii="Calibri" w:hAnsi="Calibri" w:cs="Calibri"/>
      <w:kern w:val="0"/>
      <w:szCs w:val="21"/>
    </w:rPr>
  </w:style>
  <w:style w:type="paragraph" w:customStyle="1" w:styleId="12">
    <w:name w:val="列表段落1"/>
    <w:basedOn w:val="1"/>
    <w:qFormat/>
    <w:uiPriority w:val="0"/>
    <w:pPr>
      <w:ind w:firstLine="420" w:firstLineChars="200"/>
    </w:pPr>
    <w:rPr>
      <w:rFonts w:ascii="Calibri" w:hAnsi="Calibri"/>
      <w:kern w:val="0"/>
      <w:sz w:val="20"/>
      <w:szCs w:val="20"/>
    </w:rPr>
  </w:style>
  <w:style w:type="paragraph" w:customStyle="1" w:styleId="13">
    <w:name w:val="段标题1"/>
    <w:basedOn w:val="1"/>
    <w:qFormat/>
    <w:uiPriority w:val="0"/>
    <w:pPr>
      <w:tabs>
        <w:tab w:val="left" w:pos="420"/>
        <w:tab w:val="left" w:pos="1080"/>
      </w:tabs>
      <w:adjustRightInd w:val="0"/>
      <w:snapToGrid w:val="0"/>
      <w:spacing w:line="480" w:lineRule="auto"/>
      <w:ind w:left="420" w:hanging="420"/>
      <w:textAlignment w:val="baseline"/>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2022-08-26T07:00:00Z</dcterms:created>
  <dc:creator>فجر •Mua.</dc:creator>
  <cp:lastModifiedBy>فجر •Mua.</cp:lastModifiedBy>
  <dcterms:modified xsi:type="dcterms:W3CDTF">2022-08-26T07:00:30Z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B2DD2B6E868B4635BA144C94DE2C8759</vt:lpwstr>
  </property>
</Properties>
</file>